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C8" w:rsidRDefault="006B79C8" w:rsidP="006B79C8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Парциальная программа дошкольного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образования  </w:t>
      </w:r>
      <w:r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>Цветной  мир</w:t>
      </w:r>
    </w:p>
    <w:p w:rsidR="006B79C8" w:rsidRDefault="006B79C8" w:rsidP="006B79C8">
      <w:pPr>
        <w:spacing w:line="13" w:lineRule="exact"/>
        <w:rPr>
          <w:sz w:val="20"/>
          <w:szCs w:val="20"/>
        </w:rPr>
      </w:pPr>
    </w:p>
    <w:p w:rsidR="006B79C8" w:rsidRDefault="006B79C8" w:rsidP="006B79C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Белогорья» (образовательная область «Художественно-эстетическое развитие») / Л.В. Серых, С.И. </w:t>
      </w:r>
      <w:proofErr w:type="spellStart"/>
      <w:r>
        <w:rPr>
          <w:rFonts w:eastAsia="Times New Roman"/>
          <w:sz w:val="28"/>
          <w:szCs w:val="28"/>
        </w:rPr>
        <w:t>Линник-Ботова</w:t>
      </w:r>
      <w:proofErr w:type="spellEnd"/>
      <w:r>
        <w:rPr>
          <w:rFonts w:eastAsia="Times New Roman"/>
          <w:sz w:val="28"/>
          <w:szCs w:val="28"/>
        </w:rPr>
        <w:t xml:space="preserve">, А.Б. </w:t>
      </w:r>
      <w:proofErr w:type="spellStart"/>
      <w:r>
        <w:rPr>
          <w:rFonts w:eastAsia="Times New Roman"/>
          <w:sz w:val="28"/>
          <w:szCs w:val="28"/>
        </w:rPr>
        <w:t>Богун</w:t>
      </w:r>
      <w:proofErr w:type="spellEnd"/>
      <w:r>
        <w:rPr>
          <w:rFonts w:eastAsia="Times New Roman"/>
          <w:sz w:val="28"/>
          <w:szCs w:val="28"/>
        </w:rPr>
        <w:t xml:space="preserve">, Н.В. Косова, Н.В. Яковлева. – </w:t>
      </w:r>
      <w:proofErr w:type="gramStart"/>
      <w:r>
        <w:rPr>
          <w:rFonts w:eastAsia="Times New Roman"/>
          <w:sz w:val="28"/>
          <w:szCs w:val="28"/>
        </w:rPr>
        <w:t>Воронеж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Издат</w:t>
      </w:r>
      <w:proofErr w:type="spellEnd"/>
      <w:r>
        <w:rPr>
          <w:rFonts w:eastAsia="Times New Roman"/>
          <w:sz w:val="28"/>
          <w:szCs w:val="28"/>
        </w:rPr>
        <w:t>-Черноземье, 2017. – 40 с.</w:t>
      </w:r>
    </w:p>
    <w:p w:rsidR="006B79C8" w:rsidRDefault="006B79C8" w:rsidP="006B79C8">
      <w:pPr>
        <w:spacing w:line="200" w:lineRule="exact"/>
        <w:rPr>
          <w:sz w:val="20"/>
          <w:szCs w:val="20"/>
        </w:rPr>
      </w:pPr>
    </w:p>
    <w:p w:rsidR="006B79C8" w:rsidRDefault="006B79C8" w:rsidP="006B79C8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Парциальная образовательная программа «Цветной мир Белогорья» направлена на художественно-эстетическое развитие на основе социокультурных традиций Белгородской области с учетом индивидуальных и возрастных особенностей дошкольников, потребностей детей и их родителей.</w:t>
      </w:r>
    </w:p>
    <w:p w:rsidR="006B79C8" w:rsidRDefault="006B79C8" w:rsidP="006B79C8">
      <w:pPr>
        <w:spacing w:line="14" w:lineRule="exact"/>
        <w:rPr>
          <w:sz w:val="20"/>
          <w:szCs w:val="20"/>
        </w:rPr>
      </w:pPr>
    </w:p>
    <w:p w:rsidR="006B79C8" w:rsidRDefault="006B79C8" w:rsidP="006B79C8">
      <w:pPr>
        <w:spacing w:line="23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является составной частью проекта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разработана на основе требований ФГОС дошкольного образования и предназначена для части основной образовательной программы, формируемой участниками образовательных отношений.</w:t>
      </w:r>
    </w:p>
    <w:p w:rsidR="006B79C8" w:rsidRDefault="006B79C8" w:rsidP="006B79C8">
      <w:pPr>
        <w:spacing w:line="2" w:lineRule="exact"/>
        <w:rPr>
          <w:sz w:val="20"/>
          <w:szCs w:val="20"/>
        </w:rPr>
      </w:pPr>
    </w:p>
    <w:p w:rsidR="00CE09A0" w:rsidRDefault="00CE09A0">
      <w:bookmarkStart w:id="0" w:name="_GoBack"/>
      <w:bookmarkEnd w:id="0"/>
    </w:p>
    <w:sectPr w:rsidR="00CE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2"/>
    <w:rsid w:val="006B79C8"/>
    <w:rsid w:val="009741A2"/>
    <w:rsid w:val="00C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99A9-9110-42D4-AA0A-E54AB9B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2019-09-25T11:28:00Z</dcterms:created>
  <dcterms:modified xsi:type="dcterms:W3CDTF">2019-09-25T11:28:00Z</dcterms:modified>
</cp:coreProperties>
</file>